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BA0" w:rsidRPr="005A2297" w:rsidRDefault="00626BA0" w:rsidP="005A2297">
      <w:pPr>
        <w:pStyle w:val="1"/>
        <w:numPr>
          <w:ilvl w:val="0"/>
          <w:numId w:val="0"/>
        </w:numPr>
        <w:spacing w:before="0" w:after="0" w:line="720" w:lineRule="auto"/>
        <w:ind w:left="419" w:hangingChars="116" w:hanging="419"/>
        <w:jc w:val="center"/>
        <w:rPr>
          <w:rFonts w:ascii="仿宋" w:eastAsia="仿宋" w:hAnsi="仿宋"/>
          <w:sz w:val="36"/>
          <w:szCs w:val="36"/>
        </w:rPr>
      </w:pPr>
      <w:bookmarkStart w:id="0" w:name="_Toc14100914"/>
      <w:bookmarkStart w:id="1" w:name="_Toc14101327"/>
      <w:bookmarkStart w:id="2" w:name="_Toc14162643"/>
      <w:bookmarkStart w:id="3" w:name="_Toc14178280"/>
      <w:bookmarkStart w:id="4" w:name="_Toc14186226"/>
      <w:bookmarkStart w:id="5" w:name="_Toc14251404"/>
      <w:bookmarkStart w:id="6" w:name="_Toc14858657"/>
      <w:bookmarkStart w:id="7" w:name="_Toc14186227"/>
      <w:bookmarkStart w:id="8" w:name="_Toc14251405"/>
      <w:bookmarkStart w:id="9" w:name="_Toc14858658"/>
      <w:r w:rsidRPr="005A2297">
        <w:rPr>
          <w:rFonts w:ascii="仿宋" w:eastAsia="仿宋" w:hAnsi="仿宋"/>
          <w:sz w:val="36"/>
          <w:szCs w:val="36"/>
        </w:rPr>
        <w:t>税务师</w:t>
      </w:r>
      <w:r w:rsidRPr="005A2297">
        <w:rPr>
          <w:rFonts w:ascii="仿宋" w:eastAsia="仿宋" w:hAnsi="仿宋" w:hint="eastAsia"/>
          <w:sz w:val="36"/>
          <w:szCs w:val="36"/>
        </w:rPr>
        <w:t>行业</w:t>
      </w:r>
      <w:r w:rsidRPr="005A2297">
        <w:rPr>
          <w:rFonts w:ascii="仿宋" w:eastAsia="仿宋" w:hAnsi="仿宋"/>
          <w:sz w:val="36"/>
          <w:szCs w:val="36"/>
        </w:rPr>
        <w:t>质量控制指引</w:t>
      </w:r>
      <w:bookmarkEnd w:id="0"/>
      <w:bookmarkEnd w:id="1"/>
      <w:bookmarkEnd w:id="2"/>
      <w:bookmarkEnd w:id="3"/>
      <w:bookmarkEnd w:id="4"/>
      <w:bookmarkEnd w:id="5"/>
      <w:bookmarkEnd w:id="6"/>
    </w:p>
    <w:bookmarkEnd w:id="7"/>
    <w:bookmarkEnd w:id="8"/>
    <w:bookmarkEnd w:id="9"/>
    <w:p w:rsidR="00626BA0" w:rsidRPr="005A2297" w:rsidRDefault="00626BA0" w:rsidP="00626BA0">
      <w:pPr>
        <w:spacing w:line="720" w:lineRule="auto"/>
        <w:jc w:val="center"/>
        <w:rPr>
          <w:rFonts w:ascii="仿宋" w:eastAsia="仿宋" w:hAnsi="仿宋"/>
          <w:b/>
          <w:sz w:val="36"/>
          <w:szCs w:val="36"/>
        </w:rPr>
      </w:pPr>
      <w:r w:rsidRPr="005A2297">
        <w:rPr>
          <w:rFonts w:ascii="仿宋" w:eastAsia="仿宋" w:hAnsi="仿宋" w:hint="eastAsia"/>
          <w:b/>
          <w:sz w:val="36"/>
          <w:szCs w:val="36"/>
        </w:rPr>
        <w:t>（试行）</w:t>
      </w:r>
    </w:p>
    <w:p w:rsidR="00626BA0" w:rsidRPr="00E83937" w:rsidRDefault="00626BA0" w:rsidP="00626BA0">
      <w:pPr>
        <w:pStyle w:val="2"/>
        <w:jc w:val="center"/>
        <w:rPr>
          <w:rFonts w:ascii="仿宋" w:eastAsia="仿宋" w:hAnsi="仿宋"/>
          <w:b w:val="0"/>
        </w:rPr>
      </w:pPr>
      <w:bookmarkStart w:id="10" w:name="_Toc14100915"/>
      <w:bookmarkStart w:id="11" w:name="_Toc14101328"/>
      <w:bookmarkStart w:id="12" w:name="_Toc14162644"/>
      <w:r w:rsidRPr="00E83937">
        <w:rPr>
          <w:rFonts w:ascii="仿宋" w:eastAsia="仿宋" w:hAnsi="仿宋" w:hint="eastAsia"/>
        </w:rPr>
        <w:t>第一章</w:t>
      </w:r>
      <w:r w:rsidRPr="00E83937">
        <w:rPr>
          <w:rFonts w:ascii="仿宋" w:eastAsia="仿宋" w:hAnsi="仿宋"/>
        </w:rPr>
        <w:t xml:space="preserve"> 总 则</w:t>
      </w:r>
      <w:bookmarkEnd w:id="10"/>
      <w:bookmarkEnd w:id="11"/>
      <w:bookmarkEnd w:id="12"/>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第一条</w:t>
      </w:r>
      <w:r w:rsidRPr="00E83937">
        <w:rPr>
          <w:rFonts w:ascii="仿宋" w:eastAsia="仿宋" w:hAnsi="仿宋"/>
          <w:sz w:val="32"/>
          <w:szCs w:val="32"/>
        </w:rPr>
        <w:t xml:space="preserve"> 为规范税务师事务所建立和执行</w:t>
      </w:r>
      <w:bookmarkStart w:id="13" w:name="_GoBack"/>
      <w:bookmarkEnd w:id="13"/>
      <w:r w:rsidRPr="00E83937">
        <w:rPr>
          <w:rFonts w:ascii="仿宋" w:eastAsia="仿宋" w:hAnsi="仿宋"/>
          <w:sz w:val="32"/>
          <w:szCs w:val="32"/>
        </w:rPr>
        <w:t>质量控制制度，提高执业质量，防范执业风险，根据《涉税专业服务监管办法(试行)》（国家税务总局公告2017年第13号）和中国注册税务师协会《税务师</w:t>
      </w:r>
      <w:r w:rsidRPr="00E83937">
        <w:rPr>
          <w:rFonts w:ascii="仿宋" w:eastAsia="仿宋" w:hAnsi="仿宋" w:hint="eastAsia"/>
          <w:sz w:val="32"/>
          <w:szCs w:val="32"/>
        </w:rPr>
        <w:t>行业</w:t>
      </w:r>
      <w:r w:rsidRPr="00E83937">
        <w:rPr>
          <w:rFonts w:ascii="仿宋" w:eastAsia="仿宋" w:hAnsi="仿宋"/>
          <w:sz w:val="32"/>
          <w:szCs w:val="32"/>
        </w:rPr>
        <w:t>涉税专业服务规范基本指引（试行）》，制定本指引。</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第二条</w:t>
      </w:r>
      <w:r w:rsidRPr="00E83937">
        <w:rPr>
          <w:rFonts w:ascii="仿宋" w:eastAsia="仿宋" w:hAnsi="仿宋"/>
          <w:sz w:val="32"/>
          <w:szCs w:val="32"/>
        </w:rPr>
        <w:t xml:space="preserve"> 税务师事务所执行质量控制制度适用本指引。</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第三条</w:t>
      </w:r>
      <w:r w:rsidRPr="00E83937">
        <w:rPr>
          <w:rFonts w:ascii="仿宋" w:eastAsia="仿宋" w:hAnsi="仿宋"/>
          <w:sz w:val="32"/>
          <w:szCs w:val="32"/>
        </w:rPr>
        <w:t xml:space="preserve"> 本指引所称的质量控制是指税务师事务所为实现业务质量目标而采取的政策和程序以及措施和方法。</w:t>
      </w:r>
    </w:p>
    <w:p w:rsidR="00626BA0" w:rsidRPr="00E83937" w:rsidRDefault="00626BA0" w:rsidP="00626BA0">
      <w:pPr>
        <w:ind w:firstLineChars="200" w:firstLine="640"/>
        <w:rPr>
          <w:rFonts w:ascii="仿宋" w:eastAsia="仿宋" w:hAnsi="仿宋" w:cs="Times New Roman"/>
          <w:sz w:val="32"/>
          <w:szCs w:val="32"/>
        </w:rPr>
      </w:pPr>
      <w:r w:rsidRPr="00E83937">
        <w:rPr>
          <w:rFonts w:ascii="仿宋" w:eastAsia="仿宋" w:hAnsi="仿宋" w:hint="eastAsia"/>
          <w:sz w:val="32"/>
          <w:szCs w:val="32"/>
        </w:rPr>
        <w:t>质量控制的目标是合理保证税务师事务所及其涉税服务人员按照法律法规和涉税服务业务规范提供涉税专业服务，服务过程满足业务约定书需要，服务成果维护国家税收利益和纳税人合法权益，税务师事务所信用评价达到监管部门的要求。</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第四条</w:t>
      </w:r>
      <w:r w:rsidRPr="00E83937">
        <w:rPr>
          <w:rFonts w:ascii="仿宋" w:eastAsia="仿宋" w:hAnsi="仿宋"/>
          <w:sz w:val="32"/>
          <w:szCs w:val="32"/>
        </w:rPr>
        <w:t xml:space="preserve"> 为实现质量控制目标，税务师事务所应当根据本</w:t>
      </w:r>
      <w:r w:rsidRPr="00E83937">
        <w:rPr>
          <w:rFonts w:ascii="仿宋" w:eastAsia="仿宋" w:hAnsi="仿宋" w:hint="eastAsia"/>
          <w:sz w:val="32"/>
          <w:szCs w:val="32"/>
        </w:rPr>
        <w:t>机构</w:t>
      </w:r>
      <w:r w:rsidRPr="00E83937">
        <w:rPr>
          <w:rFonts w:ascii="仿宋" w:eastAsia="仿宋" w:hAnsi="仿宋"/>
          <w:sz w:val="32"/>
          <w:szCs w:val="32"/>
        </w:rPr>
        <w:t>的自身规模和业务特征建立质量控制制度，形成以业务质量控制为核心的全面质量控制体系。</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第五条</w:t>
      </w:r>
      <w:r w:rsidRPr="00E83937">
        <w:rPr>
          <w:rFonts w:ascii="仿宋" w:eastAsia="仿宋" w:hAnsi="仿宋"/>
          <w:sz w:val="32"/>
          <w:szCs w:val="32"/>
        </w:rPr>
        <w:t xml:space="preserve"> 税务师事务所建立质量控制制度，应当遵循以</w:t>
      </w:r>
      <w:r w:rsidRPr="00E83937">
        <w:rPr>
          <w:rFonts w:ascii="仿宋" w:eastAsia="仿宋" w:hAnsi="仿宋"/>
          <w:sz w:val="32"/>
          <w:szCs w:val="32"/>
        </w:rPr>
        <w:lastRenderedPageBreak/>
        <w:t xml:space="preserve">下原则： </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（一）全面性原则</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质量控制制度应当贯穿整个业务流程，涵盖全部涉税专业服务和涉税服务人员。</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（二）重要性原则</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质量控制制度应当在全面的基础上，重点关注重要业务事项和高风险领域。</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（三）制衡性原则</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内部控制应当在机构设置及权责分配、业务流程等方面形成相互制约、相互监督，同时兼顾服务效率。</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（四）适应性原则</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质量控制制度应当与本机构的规模、业务范围相适应，并根据情况的变化及时加以调整。</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（五）成本效益原则</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质量控制制度应当权衡实施成本与预期效益，以适当的成本实现有效控制。</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第六条</w:t>
      </w:r>
      <w:r w:rsidRPr="00E83937">
        <w:rPr>
          <w:rFonts w:ascii="仿宋" w:eastAsia="仿宋" w:hAnsi="仿宋" w:hint="eastAsia"/>
          <w:sz w:val="32"/>
          <w:szCs w:val="32"/>
        </w:rPr>
        <w:t xml:space="preserve"> </w:t>
      </w:r>
      <w:r w:rsidRPr="00E83937">
        <w:rPr>
          <w:rFonts w:ascii="仿宋" w:eastAsia="仿宋" w:hAnsi="仿宋"/>
          <w:sz w:val="32"/>
          <w:szCs w:val="32"/>
        </w:rPr>
        <w:t xml:space="preserve">质量控制制度应当包括下列内容： </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（一）质量控制组织机构；</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（二）职业道德要求；</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（三）与质量有关的人力资源政策；</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（四）业务承接与保持环节的质量控制制度；</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（五）业务委派环节的质量控制制度；</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lastRenderedPageBreak/>
        <w:t>（六）业务计划、重大风险识别与处理、业务证据收集与处理、业务复核、业务分歧处理、业务监控等业务实施过程中的质量控制制度；</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（七）业务工作底稿及档案管理制度。</w:t>
      </w:r>
    </w:p>
    <w:p w:rsidR="00626BA0" w:rsidRPr="00E83937" w:rsidRDefault="00626BA0" w:rsidP="00626BA0">
      <w:pPr>
        <w:pStyle w:val="2"/>
        <w:jc w:val="center"/>
        <w:rPr>
          <w:rFonts w:ascii="仿宋" w:eastAsia="仿宋" w:hAnsi="仿宋"/>
          <w:b w:val="0"/>
        </w:rPr>
      </w:pPr>
      <w:bookmarkStart w:id="14" w:name="_Toc14100916"/>
      <w:bookmarkStart w:id="15" w:name="_Toc14101329"/>
      <w:bookmarkStart w:id="16" w:name="_Toc14162645"/>
      <w:r w:rsidRPr="00E83937">
        <w:rPr>
          <w:rFonts w:ascii="仿宋" w:eastAsia="仿宋" w:hAnsi="仿宋" w:hint="eastAsia"/>
        </w:rPr>
        <w:t>第二章</w:t>
      </w:r>
      <w:r w:rsidRPr="00E83937">
        <w:rPr>
          <w:rFonts w:ascii="仿宋" w:eastAsia="仿宋" w:hAnsi="仿宋"/>
        </w:rPr>
        <w:t xml:space="preserve"> 一般要求</w:t>
      </w:r>
      <w:bookmarkEnd w:id="14"/>
      <w:bookmarkEnd w:id="15"/>
      <w:bookmarkEnd w:id="16"/>
    </w:p>
    <w:p w:rsidR="00626BA0" w:rsidRPr="00E83937" w:rsidRDefault="00626BA0" w:rsidP="00626BA0">
      <w:pPr>
        <w:ind w:firstLineChars="200" w:firstLine="643"/>
        <w:rPr>
          <w:rFonts w:ascii="仿宋" w:eastAsia="仿宋" w:hAnsi="仿宋" w:cs="Times New Roman"/>
          <w:sz w:val="32"/>
          <w:szCs w:val="32"/>
        </w:rPr>
      </w:pPr>
      <w:r w:rsidRPr="00E83937">
        <w:rPr>
          <w:rFonts w:ascii="仿宋" w:eastAsia="仿宋" w:hAnsi="仿宋" w:hint="eastAsia"/>
          <w:b/>
          <w:sz w:val="32"/>
          <w:szCs w:val="32"/>
        </w:rPr>
        <w:t>第七条</w:t>
      </w:r>
      <w:r w:rsidRPr="00E83937">
        <w:rPr>
          <w:rFonts w:ascii="仿宋" w:eastAsia="仿宋" w:hAnsi="仿宋"/>
          <w:sz w:val="32"/>
          <w:szCs w:val="32"/>
        </w:rPr>
        <w:t xml:space="preserve"> 税务师事务所应当设立专门组织机构和人员</w:t>
      </w:r>
      <w:r w:rsidRPr="00E83937">
        <w:rPr>
          <w:rFonts w:ascii="仿宋" w:eastAsia="仿宋" w:hAnsi="仿宋" w:hint="eastAsia"/>
          <w:sz w:val="32"/>
          <w:szCs w:val="32"/>
        </w:rPr>
        <w:t>,</w:t>
      </w:r>
      <w:r w:rsidRPr="00E83937">
        <w:rPr>
          <w:rFonts w:ascii="仿宋" w:eastAsia="仿宋" w:hAnsi="仿宋"/>
          <w:sz w:val="32"/>
          <w:szCs w:val="32"/>
        </w:rPr>
        <w:t>指导、监督、复核业务承接、业务实施、业务分歧</w:t>
      </w:r>
      <w:r w:rsidRPr="00E83937">
        <w:rPr>
          <w:rFonts w:ascii="仿宋" w:eastAsia="仿宋" w:hAnsi="仿宋" w:hint="eastAsia"/>
          <w:sz w:val="32"/>
          <w:szCs w:val="32"/>
        </w:rPr>
        <w:t>及</w:t>
      </w:r>
      <w:r w:rsidRPr="00E83937">
        <w:rPr>
          <w:rFonts w:ascii="仿宋" w:eastAsia="仿宋" w:hAnsi="仿宋"/>
          <w:sz w:val="32"/>
          <w:szCs w:val="32"/>
        </w:rPr>
        <w:t>独立性等有关影响业务质量和执业风险的事项。</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第八条</w:t>
      </w:r>
      <w:r w:rsidRPr="00E83937">
        <w:rPr>
          <w:rFonts w:ascii="仿宋" w:eastAsia="仿宋" w:hAnsi="仿宋"/>
          <w:sz w:val="32"/>
          <w:szCs w:val="32"/>
        </w:rPr>
        <w:t xml:space="preserve"> 税务师事务所的法定代表人或执行合伙人对质量控制制度的建立与组织机构设置以及提高本机构信用管理承担责任。</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第九条</w:t>
      </w:r>
      <w:r w:rsidRPr="00E83937">
        <w:rPr>
          <w:rFonts w:ascii="仿宋" w:eastAsia="仿宋" w:hAnsi="仿宋"/>
          <w:sz w:val="32"/>
          <w:szCs w:val="32"/>
        </w:rPr>
        <w:t xml:space="preserve"> 税务师事务所的管理层应当依据本指引制定本机构的涉税专业服务质量控制度并组织实施，使全体成员能够按质量控制制度开展工作。</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第十条</w:t>
      </w:r>
      <w:r w:rsidRPr="00E83937">
        <w:rPr>
          <w:rFonts w:ascii="仿宋" w:eastAsia="仿宋" w:hAnsi="仿宋"/>
          <w:sz w:val="32"/>
          <w:szCs w:val="32"/>
        </w:rPr>
        <w:t xml:space="preserve"> 税务师事务所的法定代表人或执行合伙人、项目负责人对业务结果的质量承担最终责任；项目其他成员为所承担的工作质量承担责任。</w:t>
      </w:r>
    </w:p>
    <w:p w:rsidR="00626BA0" w:rsidRPr="00E83937" w:rsidRDefault="00626BA0" w:rsidP="00626BA0">
      <w:pPr>
        <w:ind w:firstLineChars="200" w:firstLine="643"/>
        <w:rPr>
          <w:rFonts w:ascii="仿宋" w:eastAsia="仿宋" w:hAnsi="仿宋" w:cs="Times New Roman"/>
          <w:sz w:val="32"/>
          <w:szCs w:val="32"/>
        </w:rPr>
      </w:pPr>
      <w:r w:rsidRPr="00E83937">
        <w:rPr>
          <w:rFonts w:ascii="仿宋" w:eastAsia="仿宋" w:hAnsi="仿宋" w:hint="eastAsia"/>
          <w:b/>
          <w:sz w:val="32"/>
          <w:szCs w:val="32"/>
        </w:rPr>
        <w:t>第十一条</w:t>
      </w:r>
      <w:r w:rsidRPr="00E83937">
        <w:rPr>
          <w:rFonts w:ascii="仿宋" w:eastAsia="仿宋" w:hAnsi="仿宋"/>
          <w:sz w:val="32"/>
          <w:szCs w:val="32"/>
        </w:rPr>
        <w:t xml:space="preserve"> 税务师事务所制定质量控制制度，应当考虑涉税服务风险的影响因素，并提供对应措施使涉税专业服务风险降低到可以接受的程度。</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第十二条</w:t>
      </w:r>
      <w:r w:rsidRPr="00E83937">
        <w:rPr>
          <w:rFonts w:ascii="仿宋" w:eastAsia="仿宋" w:hAnsi="仿宋"/>
          <w:sz w:val="32"/>
          <w:szCs w:val="32"/>
        </w:rPr>
        <w:t xml:space="preserve"> 涉税服务人员在提供服务时保持客观和专业</w:t>
      </w:r>
      <w:r w:rsidRPr="00E83937">
        <w:rPr>
          <w:rFonts w:ascii="仿宋" w:eastAsia="仿宋" w:hAnsi="仿宋"/>
          <w:sz w:val="32"/>
          <w:szCs w:val="32"/>
        </w:rPr>
        <w:lastRenderedPageBreak/>
        <w:t>谨慎，不因外在压力和个人好恶影响分析、判断的客观性，以正直、诚实、不偏不倚的态度对待有关利益各方。</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税务师事务所及其涉税服务人员，除与委托人存在委托事项关系外，不得存在影响独立性的其他利益关系。</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税务师事务所制定质量控制制度，应当考虑独立性对涉税服务人员的要求及时发现、处理对独立性的威胁情形。</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税务师事务所管理层应当认识自身遵守独立性的示范作用，定期对涉税服务人员进行教育和培训。</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第十三条</w:t>
      </w:r>
      <w:r w:rsidRPr="00E83937">
        <w:rPr>
          <w:rFonts w:ascii="仿宋" w:eastAsia="仿宋" w:hAnsi="仿宋"/>
          <w:sz w:val="32"/>
          <w:szCs w:val="32"/>
        </w:rPr>
        <w:t xml:space="preserve"> 税务师事务所制定有关独立性制度时应当：</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（一）覆盖所有的涉税服务人员和业务流程；</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（二）针对本机构内不同业务板块之间关系、同一客户提供不同业务类型服务等事项制定独立性政策；</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（三）根据本事务所的情况，列举威胁本事务所独立性的具体情形和应采取的对应措施；</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（四）要求需要保持独立性的人员，每年至少一次向本机构提供遵守独立性政策和程序的书面确认函。</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第十四条</w:t>
      </w:r>
      <w:r w:rsidRPr="00E83937">
        <w:rPr>
          <w:rFonts w:ascii="仿宋" w:eastAsia="仿宋" w:hAnsi="仿宋"/>
          <w:sz w:val="32"/>
          <w:szCs w:val="32"/>
        </w:rPr>
        <w:t xml:space="preserve"> 税务师事务所制定的人力资源管理制度应当考虑业务质量对人员素质、专业胜任能力的要求；在业绩评价、薪酬、晋升制度中应当将业务质量作为重要参考指标。</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第十五条</w:t>
      </w:r>
      <w:r w:rsidRPr="00E83937">
        <w:rPr>
          <w:rFonts w:ascii="仿宋" w:eastAsia="仿宋" w:hAnsi="仿宋"/>
          <w:sz w:val="32"/>
          <w:szCs w:val="32"/>
        </w:rPr>
        <w:t xml:space="preserve"> 税务师事务所应当制定业务质量检查制度，定期检查评估涉税服务人员遵守法律法规、执行涉税专业服务业务规范以及质量控制制度设计、运行的有效性，并及时</w:t>
      </w:r>
      <w:r w:rsidRPr="00E83937">
        <w:rPr>
          <w:rFonts w:ascii="仿宋" w:eastAsia="仿宋" w:hAnsi="仿宋"/>
          <w:sz w:val="32"/>
          <w:szCs w:val="32"/>
        </w:rPr>
        <w:lastRenderedPageBreak/>
        <w:t>修订有关制度，对业务质量检查进行记录归档。</w:t>
      </w:r>
    </w:p>
    <w:p w:rsidR="00626BA0" w:rsidRPr="00E83937" w:rsidRDefault="00626BA0" w:rsidP="00626BA0">
      <w:pPr>
        <w:pStyle w:val="2"/>
        <w:jc w:val="center"/>
        <w:rPr>
          <w:rFonts w:ascii="仿宋" w:eastAsia="仿宋" w:hAnsi="仿宋"/>
          <w:b w:val="0"/>
        </w:rPr>
      </w:pPr>
      <w:bookmarkStart w:id="17" w:name="_Toc14100917"/>
      <w:bookmarkStart w:id="18" w:name="_Toc14101330"/>
      <w:bookmarkStart w:id="19" w:name="_Toc14162646"/>
      <w:r w:rsidRPr="00E83937">
        <w:rPr>
          <w:rFonts w:ascii="仿宋" w:eastAsia="仿宋" w:hAnsi="仿宋" w:hint="eastAsia"/>
        </w:rPr>
        <w:t>第三章</w:t>
      </w:r>
      <w:r w:rsidRPr="00E83937">
        <w:rPr>
          <w:rFonts w:ascii="仿宋" w:eastAsia="仿宋" w:hAnsi="仿宋"/>
        </w:rPr>
        <w:t xml:space="preserve"> 业务承接和保持质量控制</w:t>
      </w:r>
      <w:bookmarkEnd w:id="17"/>
      <w:bookmarkEnd w:id="18"/>
      <w:bookmarkEnd w:id="19"/>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第十六条</w:t>
      </w:r>
      <w:r w:rsidRPr="00E83937">
        <w:rPr>
          <w:rFonts w:ascii="仿宋" w:eastAsia="仿宋" w:hAnsi="仿宋"/>
          <w:sz w:val="32"/>
          <w:szCs w:val="32"/>
        </w:rPr>
        <w:t xml:space="preserve"> 税务师事务所应当制定业务承接</w:t>
      </w:r>
      <w:r w:rsidRPr="00E83937">
        <w:rPr>
          <w:rFonts w:ascii="仿宋" w:eastAsia="仿宋" w:hAnsi="仿宋" w:hint="eastAsia"/>
          <w:sz w:val="32"/>
          <w:szCs w:val="32"/>
        </w:rPr>
        <w:t>和保持</w:t>
      </w:r>
      <w:r w:rsidRPr="00E83937">
        <w:rPr>
          <w:rFonts w:ascii="仿宋" w:eastAsia="仿宋" w:hAnsi="仿宋"/>
          <w:sz w:val="32"/>
          <w:szCs w:val="32"/>
        </w:rPr>
        <w:t>质量控制制度，明确对委托人事项了解和评估的内容、方法，确定接受或保持委托关系的决策程序。</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第十七条</w:t>
      </w:r>
      <w:r w:rsidRPr="00E83937">
        <w:rPr>
          <w:rFonts w:ascii="仿宋" w:eastAsia="仿宋" w:hAnsi="仿宋"/>
          <w:sz w:val="32"/>
          <w:szCs w:val="32"/>
        </w:rPr>
        <w:t xml:space="preserve"> 在确定是否接受和保持业务委托关系前，税务师事务所应当对委托人的情况进行充分地调查评估，根据评估结果作出是否接受或保持委托关系的决策。</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第十八条</w:t>
      </w:r>
      <w:r w:rsidRPr="00E83937">
        <w:rPr>
          <w:rFonts w:ascii="仿宋" w:eastAsia="仿宋" w:hAnsi="仿宋"/>
          <w:sz w:val="32"/>
          <w:szCs w:val="32"/>
        </w:rPr>
        <w:t xml:space="preserve"> 为控制涉税专业服务执业风险，税务师事务所可以根据不同的服务类型，对业务约定书的重要事项制定标准条款并定期修订。</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第十九条</w:t>
      </w:r>
      <w:r w:rsidRPr="00E83937">
        <w:rPr>
          <w:rFonts w:ascii="仿宋" w:eastAsia="仿宋" w:hAnsi="仿宋"/>
          <w:sz w:val="32"/>
          <w:szCs w:val="32"/>
        </w:rPr>
        <w:t xml:space="preserve"> 税务师事务所在对业务承接进行管理时，对以下内容应重点关注：</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（一）委托人的委托目的和目标；</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（二）委托人的诚信评价及风险级别；</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（三）委托人的信誉、诚信可靠性及纳税遵从度；</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（四）专业胜任能力；</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（五）委托业务在独立性方面对本机构及涉税服务人员的要求；</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（六）判断收费是否合理。</w:t>
      </w:r>
    </w:p>
    <w:p w:rsidR="00626BA0" w:rsidRPr="00E83937" w:rsidRDefault="00626BA0" w:rsidP="00626BA0">
      <w:pPr>
        <w:pStyle w:val="2"/>
        <w:jc w:val="center"/>
        <w:rPr>
          <w:rFonts w:ascii="仿宋" w:eastAsia="仿宋" w:hAnsi="仿宋"/>
          <w:b w:val="0"/>
        </w:rPr>
      </w:pPr>
      <w:bookmarkStart w:id="20" w:name="_Toc14100918"/>
      <w:bookmarkStart w:id="21" w:name="_Toc14101331"/>
      <w:bookmarkStart w:id="22" w:name="_Toc14162647"/>
      <w:r w:rsidRPr="00E83937">
        <w:rPr>
          <w:rFonts w:ascii="仿宋" w:eastAsia="仿宋" w:hAnsi="仿宋"/>
        </w:rPr>
        <w:lastRenderedPageBreak/>
        <w:t>第四章 业务委派质量控制</w:t>
      </w:r>
      <w:bookmarkEnd w:id="20"/>
      <w:bookmarkEnd w:id="21"/>
      <w:bookmarkEnd w:id="22"/>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第二十条</w:t>
      </w:r>
      <w:r w:rsidRPr="00E83937">
        <w:rPr>
          <w:rFonts w:ascii="仿宋" w:eastAsia="仿宋" w:hAnsi="仿宋"/>
          <w:sz w:val="32"/>
          <w:szCs w:val="32"/>
        </w:rPr>
        <w:t xml:space="preserve"> </w:t>
      </w:r>
      <w:r w:rsidRPr="00E83937">
        <w:rPr>
          <w:rFonts w:ascii="仿宋" w:eastAsia="仿宋" w:hAnsi="仿宋" w:cs="仿宋" w:hint="eastAsia"/>
          <w:sz w:val="32"/>
          <w:szCs w:val="32"/>
        </w:rPr>
        <w:t>税务师事务所应当制定业务委派制度，内容包括：项目组织结构、项目负责人和其它重要人员的回避情形以及</w:t>
      </w:r>
      <w:r w:rsidRPr="00E83937">
        <w:rPr>
          <w:rFonts w:ascii="仿宋" w:eastAsia="仿宋" w:hAnsi="仿宋" w:cs="仿宋" w:hint="eastAsia"/>
          <w:color w:val="000000" w:themeColor="text1"/>
          <w:sz w:val="32"/>
          <w:szCs w:val="32"/>
        </w:rPr>
        <w:t>职责。</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第二十一条</w:t>
      </w:r>
      <w:r w:rsidRPr="00E83937">
        <w:rPr>
          <w:rFonts w:ascii="仿宋" w:eastAsia="仿宋" w:hAnsi="仿宋"/>
          <w:sz w:val="32"/>
          <w:szCs w:val="32"/>
        </w:rPr>
        <w:t xml:space="preserve"> 税务师事务所在对业务委派环节进行管理时应当关注选定的项目</w:t>
      </w:r>
      <w:r w:rsidRPr="00E83937">
        <w:rPr>
          <w:rFonts w:ascii="仿宋" w:eastAsia="仿宋" w:hAnsi="仿宋" w:hint="eastAsia"/>
          <w:sz w:val="32"/>
          <w:szCs w:val="32"/>
        </w:rPr>
        <w:t>组</w:t>
      </w:r>
      <w:r w:rsidRPr="00E83937">
        <w:rPr>
          <w:rFonts w:ascii="仿宋" w:eastAsia="仿宋" w:hAnsi="仿宋"/>
          <w:sz w:val="32"/>
          <w:szCs w:val="32"/>
        </w:rPr>
        <w:t>在业务能力、工作量、独立性等方面是否符合要求。</w:t>
      </w:r>
    </w:p>
    <w:p w:rsidR="00626BA0" w:rsidRPr="00E83937" w:rsidRDefault="00626BA0" w:rsidP="00626BA0">
      <w:pPr>
        <w:pStyle w:val="2"/>
        <w:jc w:val="center"/>
        <w:rPr>
          <w:rFonts w:ascii="仿宋" w:eastAsia="仿宋" w:hAnsi="仿宋"/>
          <w:b w:val="0"/>
        </w:rPr>
      </w:pPr>
      <w:bookmarkStart w:id="23" w:name="_Toc14100919"/>
      <w:bookmarkStart w:id="24" w:name="_Toc14101332"/>
      <w:bookmarkStart w:id="25" w:name="_Toc14162648"/>
      <w:r w:rsidRPr="00E83937">
        <w:rPr>
          <w:rFonts w:ascii="仿宋" w:eastAsia="仿宋" w:hAnsi="仿宋"/>
        </w:rPr>
        <w:t>第五章 业务实施质量控制</w:t>
      </w:r>
      <w:bookmarkEnd w:id="23"/>
      <w:bookmarkEnd w:id="24"/>
      <w:bookmarkEnd w:id="25"/>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第二十二条</w:t>
      </w:r>
      <w:r w:rsidRPr="00E83937">
        <w:rPr>
          <w:rFonts w:ascii="仿宋" w:eastAsia="仿宋" w:hAnsi="仿宋"/>
          <w:sz w:val="32"/>
          <w:szCs w:val="32"/>
        </w:rPr>
        <w:t xml:space="preserve"> 税务师事务所应当针对业务计划、证据收集与评价、业务成果、业务记录等业务实施的各个环节制定相应的质量控制制度。</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质量控制制度应当特别针对处理业务实施过程下列事项作出具体规定：</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（一）</w:t>
      </w:r>
      <w:r w:rsidRPr="00E83937">
        <w:rPr>
          <w:rFonts w:ascii="仿宋" w:eastAsia="仿宋" w:hAnsi="仿宋"/>
          <w:sz w:val="32"/>
          <w:szCs w:val="32"/>
        </w:rPr>
        <w:tab/>
        <w:t>重大风险事项的预警识别、工作程序、处理方法；</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（二）业务证据的收集、分析、确认、证明效力以及业务证据充分性和适当性方面的要求；</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（三）业务分歧解决程序；</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第二十三条</w:t>
      </w:r>
      <w:r w:rsidRPr="00E83937">
        <w:rPr>
          <w:rFonts w:ascii="仿宋" w:eastAsia="仿宋" w:hAnsi="仿宋"/>
          <w:sz w:val="32"/>
          <w:szCs w:val="32"/>
        </w:rPr>
        <w:t xml:space="preserve"> 税务师事务所在对业务工作计划进行管理时，应当关注以下方面：</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（一）计划是否在对委托人调查评估后制定；</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（二）对重大风险事项的确定是否准确；</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lastRenderedPageBreak/>
        <w:t>（三）可能发生舞弊行为的领域确定是否准确；</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（四）计划内容是否全面、可行。</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第二十四条</w:t>
      </w:r>
      <w:r w:rsidRPr="00E83937">
        <w:rPr>
          <w:rFonts w:ascii="仿宋" w:eastAsia="仿宋" w:hAnsi="仿宋"/>
          <w:sz w:val="32"/>
          <w:szCs w:val="32"/>
        </w:rPr>
        <w:t xml:space="preserve"> 重大风险事项是指涉税服务人员根据委托人的情况和委托事项的性质所确定或发生的对业务质量和本机构有重大影响的事项。</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涉税服务人员对重大风险事项的关注，应当贯穿于业务实施的各个阶段。</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舞弊是指委托人为获取税收利益采用逃避或欺骗手段的故意行为。舞弊行为不论是否获取了税收利益，都应作为重大风险事项。</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第二十五条</w:t>
      </w:r>
      <w:r w:rsidRPr="00E83937">
        <w:rPr>
          <w:rFonts w:ascii="仿宋" w:eastAsia="仿宋" w:hAnsi="仿宋"/>
          <w:sz w:val="32"/>
          <w:szCs w:val="32"/>
        </w:rPr>
        <w:t xml:space="preserve"> 税务师事务所在对业务证据的收集及评价进行管理时，应当关注以下方面：</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（一）重大风险事项是否实施了程序并取得了证据；</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（二）证据收集程序是否符合法律要求；</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（三）</w:t>
      </w:r>
      <w:r w:rsidRPr="00E83937">
        <w:rPr>
          <w:rFonts w:ascii="仿宋" w:eastAsia="仿宋" w:hAnsi="仿宋"/>
          <w:sz w:val="32"/>
          <w:szCs w:val="32"/>
        </w:rPr>
        <w:t xml:space="preserve"> 收集的证据是否充分、适当；</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（四）</w:t>
      </w:r>
      <w:r w:rsidRPr="00E83937">
        <w:rPr>
          <w:rFonts w:ascii="仿宋" w:eastAsia="仿宋" w:hAnsi="仿宋"/>
          <w:sz w:val="32"/>
          <w:szCs w:val="32"/>
        </w:rPr>
        <w:t xml:space="preserve"> 来自委托人的证据是否相互印证；</w:t>
      </w:r>
    </w:p>
    <w:p w:rsidR="00626BA0" w:rsidRPr="00E83937" w:rsidRDefault="00626BA0" w:rsidP="00626BA0">
      <w:pPr>
        <w:ind w:firstLineChars="200" w:firstLine="640"/>
        <w:rPr>
          <w:rFonts w:ascii="仿宋" w:eastAsia="仿宋" w:hAnsi="仿宋"/>
          <w:color w:val="000000" w:themeColor="text1"/>
          <w:sz w:val="32"/>
          <w:szCs w:val="32"/>
        </w:rPr>
      </w:pPr>
      <w:r w:rsidRPr="00E83937">
        <w:rPr>
          <w:rFonts w:ascii="仿宋" w:eastAsia="仿宋" w:hAnsi="仿宋" w:cs="仿宋" w:hint="eastAsia"/>
          <w:color w:val="000000" w:themeColor="text1"/>
          <w:sz w:val="32"/>
          <w:szCs w:val="32"/>
        </w:rPr>
        <w:t>（五）</w:t>
      </w:r>
      <w:r w:rsidRPr="00E83937">
        <w:rPr>
          <w:rFonts w:ascii="仿宋" w:eastAsia="仿宋" w:hAnsi="仿宋" w:cs="仿宋"/>
          <w:color w:val="000000" w:themeColor="text1"/>
          <w:sz w:val="32"/>
          <w:szCs w:val="32"/>
        </w:rPr>
        <w:t xml:space="preserve"> </w:t>
      </w:r>
      <w:r w:rsidRPr="00E83937">
        <w:rPr>
          <w:rFonts w:ascii="仿宋" w:eastAsia="仿宋" w:hAnsi="仿宋" w:cs="仿宋" w:hint="eastAsia"/>
          <w:color w:val="000000" w:themeColor="text1"/>
          <w:sz w:val="32"/>
          <w:szCs w:val="32"/>
        </w:rPr>
        <w:t>重大事项与委托人沟通记录是否完整；</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（六）</w:t>
      </w:r>
      <w:r w:rsidRPr="00E83937">
        <w:rPr>
          <w:rFonts w:ascii="仿宋" w:eastAsia="仿宋" w:hAnsi="仿宋"/>
          <w:sz w:val="32"/>
          <w:szCs w:val="32"/>
        </w:rPr>
        <w:t xml:space="preserve"> 是否取得了委托人管理层声明或委托授权；</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（七）</w:t>
      </w:r>
      <w:r w:rsidRPr="00E83937">
        <w:rPr>
          <w:rFonts w:ascii="仿宋" w:eastAsia="仿宋" w:hAnsi="仿宋"/>
          <w:sz w:val="32"/>
          <w:szCs w:val="32"/>
        </w:rPr>
        <w:t xml:space="preserve"> 政策执行是否适当；</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（八）</w:t>
      </w:r>
      <w:r w:rsidRPr="00E83937">
        <w:rPr>
          <w:rFonts w:ascii="仿宋" w:eastAsia="仿宋" w:hAnsi="仿宋"/>
          <w:sz w:val="32"/>
          <w:szCs w:val="32"/>
        </w:rPr>
        <w:t xml:space="preserve"> 与行政监管部门的沟通记录是否完整；</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（九）</w:t>
      </w:r>
      <w:r w:rsidRPr="00E83937">
        <w:rPr>
          <w:rFonts w:ascii="仿宋" w:eastAsia="仿宋" w:hAnsi="仿宋"/>
          <w:sz w:val="32"/>
          <w:szCs w:val="32"/>
        </w:rPr>
        <w:t xml:space="preserve"> 对发现的委托人舞弊行为的证据收集以及所采取的措施是否恰当。</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lastRenderedPageBreak/>
        <w:t>第二十六条</w:t>
      </w:r>
      <w:r w:rsidRPr="00E83937">
        <w:rPr>
          <w:rFonts w:ascii="仿宋" w:eastAsia="仿宋" w:hAnsi="仿宋"/>
          <w:sz w:val="32"/>
          <w:szCs w:val="32"/>
        </w:rPr>
        <w:t xml:space="preserve"> 税务师事务所应制定意见分歧解决制度，以解决项目组成员之间、项目组与业务质量监控人员之间产生的意见分歧，在按照意见分歧解决程序解决以后方可提交业务结果。</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第二十七条</w:t>
      </w:r>
      <w:r w:rsidRPr="00E83937">
        <w:rPr>
          <w:rFonts w:ascii="仿宋" w:eastAsia="仿宋" w:hAnsi="仿宋"/>
          <w:sz w:val="32"/>
          <w:szCs w:val="32"/>
        </w:rPr>
        <w:t xml:space="preserve"> 税务师事务所在业务成果提交进行管理时，应当关注以下方面：</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（一）意见分歧解决程序是否实施；</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（二）分歧各方的意见是否充分考虑；</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（三）业务结果是否履行签字程序；</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（四）业务结果提交时间是否及时。</w:t>
      </w:r>
    </w:p>
    <w:p w:rsidR="00626BA0" w:rsidRPr="00E83937" w:rsidRDefault="00626BA0" w:rsidP="00626BA0">
      <w:pPr>
        <w:pStyle w:val="2"/>
        <w:jc w:val="center"/>
        <w:rPr>
          <w:rFonts w:ascii="仿宋" w:eastAsia="仿宋" w:hAnsi="仿宋"/>
          <w:b w:val="0"/>
        </w:rPr>
      </w:pPr>
      <w:bookmarkStart w:id="26" w:name="_Toc14100920"/>
      <w:bookmarkStart w:id="27" w:name="_Toc14101333"/>
      <w:bookmarkStart w:id="28" w:name="_Toc14162649"/>
      <w:r w:rsidRPr="00E83937">
        <w:rPr>
          <w:rFonts w:ascii="仿宋" w:eastAsia="仿宋" w:hAnsi="仿宋"/>
        </w:rPr>
        <w:t>第六章 业务复核质量控制</w:t>
      </w:r>
      <w:bookmarkEnd w:id="26"/>
      <w:bookmarkEnd w:id="27"/>
      <w:bookmarkEnd w:id="28"/>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第二十八条</w:t>
      </w:r>
      <w:r w:rsidRPr="00E83937">
        <w:rPr>
          <w:rFonts w:ascii="仿宋" w:eastAsia="仿宋" w:hAnsi="仿宋"/>
          <w:sz w:val="32"/>
          <w:szCs w:val="32"/>
        </w:rPr>
        <w:t xml:space="preserve"> 业务复核是指税务师事务所为保证业务质量，在项目组内部成员之间进行的，复核人对他人所实施的程序、判断、形成的业务结果做出客观评价的活动。</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税务师事务所应当根据自身规模和项目风险等级制定业务质量复核制度。业务质量复核制度应包括：复核层级、复核内容、复核程序、复核记录等内容。</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第二十九条</w:t>
      </w:r>
      <w:r w:rsidRPr="00E83937">
        <w:rPr>
          <w:rFonts w:ascii="仿宋" w:eastAsia="仿宋" w:hAnsi="仿宋"/>
          <w:sz w:val="32"/>
          <w:szCs w:val="32"/>
        </w:rPr>
        <w:t xml:space="preserve"> 税务师事务所在对业务复核进行管理时，应当关注以下方面：</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sz w:val="32"/>
          <w:szCs w:val="32"/>
        </w:rPr>
        <w:t>（一）复核级别是否符合制度要求；</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（二）复核的内容是否全面；</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lastRenderedPageBreak/>
        <w:t>（三）复核结论、过程记录是否完整；</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（四）复核意见是否处理并记录；</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（五）复核人是否签字。</w:t>
      </w:r>
    </w:p>
    <w:p w:rsidR="00626BA0" w:rsidRPr="00E83937" w:rsidRDefault="00626BA0" w:rsidP="00626BA0">
      <w:pPr>
        <w:pStyle w:val="2"/>
        <w:jc w:val="center"/>
        <w:rPr>
          <w:rFonts w:ascii="仿宋" w:eastAsia="仿宋" w:hAnsi="仿宋"/>
          <w:b w:val="0"/>
        </w:rPr>
      </w:pPr>
      <w:bookmarkStart w:id="29" w:name="_Toc14100921"/>
      <w:bookmarkStart w:id="30" w:name="_Toc14101334"/>
      <w:bookmarkStart w:id="31" w:name="_Toc14162650"/>
      <w:r w:rsidRPr="00E83937">
        <w:rPr>
          <w:rFonts w:ascii="仿宋" w:eastAsia="仿宋" w:hAnsi="仿宋" w:hint="eastAsia"/>
        </w:rPr>
        <w:t>第七章</w:t>
      </w:r>
      <w:r w:rsidRPr="00E83937">
        <w:rPr>
          <w:rFonts w:ascii="仿宋" w:eastAsia="仿宋" w:hAnsi="仿宋"/>
        </w:rPr>
        <w:t xml:space="preserve"> 业务监控质量控制</w:t>
      </w:r>
      <w:bookmarkEnd w:id="29"/>
      <w:bookmarkEnd w:id="30"/>
      <w:bookmarkEnd w:id="31"/>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第三十条</w:t>
      </w:r>
      <w:r w:rsidRPr="00E83937">
        <w:rPr>
          <w:rFonts w:ascii="仿宋" w:eastAsia="仿宋" w:hAnsi="仿宋"/>
          <w:sz w:val="32"/>
          <w:szCs w:val="32"/>
        </w:rPr>
        <w:t xml:space="preserve"> 业务监控是指税务师事务所选派项目组以外人员（以下简称“业务监控人”），对项目组的工作做出客观评价的过程。</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税务师事务所应当制定业务监控制度，对一定风险等级的项目分别实施监控。业务监控制度应当包含以下内容：</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（一）项目风险等级及划分标准；</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（二）启动业务监控风险等级条件；</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（三）业务监控人的资格和选定程序；</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（四）业务监控程序和内容；</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（五）业务监控过程记录要求。</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第三十一条</w:t>
      </w:r>
      <w:r w:rsidRPr="00E83937">
        <w:rPr>
          <w:rFonts w:ascii="仿宋" w:eastAsia="仿宋" w:hAnsi="仿宋"/>
          <w:sz w:val="32"/>
          <w:szCs w:val="32"/>
        </w:rPr>
        <w:t xml:space="preserve"> 业务监控人应当具备业务监控所需要的足够、适当的技术专长和经验并满足独立性的要求。</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第三十二条</w:t>
      </w:r>
      <w:r w:rsidRPr="00E83937">
        <w:rPr>
          <w:rFonts w:ascii="仿宋" w:eastAsia="仿宋" w:hAnsi="仿宋"/>
          <w:sz w:val="32"/>
          <w:szCs w:val="32"/>
        </w:rPr>
        <w:t xml:space="preserve"> 项目负责人应承担的责任不因业务监控的实施而减轻。</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第三十三条</w:t>
      </w:r>
      <w:r w:rsidRPr="00E83937">
        <w:rPr>
          <w:rFonts w:ascii="仿宋" w:eastAsia="仿宋" w:hAnsi="仿宋"/>
          <w:sz w:val="32"/>
          <w:szCs w:val="32"/>
        </w:rPr>
        <w:t xml:space="preserve"> 税务师事务所在对业务监控进行管理时，应当关注以下方面：</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（一）达到监控风险等级的项目是否实施了业务监控程</w:t>
      </w:r>
      <w:r w:rsidRPr="00E83937">
        <w:rPr>
          <w:rFonts w:ascii="仿宋" w:eastAsia="仿宋" w:hAnsi="仿宋" w:hint="eastAsia"/>
          <w:sz w:val="32"/>
          <w:szCs w:val="32"/>
        </w:rPr>
        <w:lastRenderedPageBreak/>
        <w:t>序；</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（二）业务监控人的选定是否符合要求；</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（三）业务监控人是否按照规定程序实施了监控；</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（四）业务监控人是否坚持独立性。</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第三十四条</w:t>
      </w:r>
      <w:r w:rsidRPr="00E83937">
        <w:rPr>
          <w:rFonts w:ascii="仿宋" w:eastAsia="仿宋" w:hAnsi="仿宋"/>
          <w:sz w:val="32"/>
          <w:szCs w:val="32"/>
        </w:rPr>
        <w:t xml:space="preserve"> 在业务监控中发现的税务师</w:t>
      </w:r>
      <w:r>
        <w:rPr>
          <w:rFonts w:ascii="仿宋" w:eastAsia="仿宋" w:hAnsi="仿宋" w:hint="eastAsia"/>
          <w:sz w:val="32"/>
          <w:szCs w:val="32"/>
        </w:rPr>
        <w:t>行业</w:t>
      </w:r>
      <w:r w:rsidRPr="00E83937">
        <w:rPr>
          <w:rFonts w:ascii="仿宋" w:eastAsia="仿宋" w:hAnsi="仿宋"/>
          <w:sz w:val="32"/>
          <w:szCs w:val="32"/>
        </w:rPr>
        <w:t>质量控制制度缺陷应及时修订。</w:t>
      </w:r>
    </w:p>
    <w:p w:rsidR="00626BA0" w:rsidRPr="00E83937" w:rsidRDefault="00626BA0" w:rsidP="00626BA0">
      <w:pPr>
        <w:pStyle w:val="2"/>
        <w:jc w:val="center"/>
        <w:rPr>
          <w:rFonts w:ascii="仿宋" w:eastAsia="仿宋" w:hAnsi="仿宋"/>
          <w:b w:val="0"/>
        </w:rPr>
      </w:pPr>
      <w:bookmarkStart w:id="32" w:name="_Toc14100922"/>
      <w:bookmarkStart w:id="33" w:name="_Toc14101335"/>
      <w:bookmarkStart w:id="34" w:name="_Toc14162651"/>
      <w:r w:rsidRPr="00E83937">
        <w:rPr>
          <w:rFonts w:ascii="仿宋" w:eastAsia="仿宋" w:hAnsi="仿宋" w:hint="eastAsia"/>
        </w:rPr>
        <w:t>第八章</w:t>
      </w:r>
      <w:r w:rsidRPr="00E83937">
        <w:rPr>
          <w:rFonts w:ascii="仿宋" w:eastAsia="仿宋" w:hAnsi="仿宋"/>
        </w:rPr>
        <w:t xml:space="preserve"> 业务工作底稿质量控制</w:t>
      </w:r>
      <w:bookmarkEnd w:id="32"/>
      <w:bookmarkEnd w:id="33"/>
      <w:bookmarkEnd w:id="34"/>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第三十五条</w:t>
      </w:r>
      <w:r w:rsidRPr="00E83937">
        <w:rPr>
          <w:rFonts w:ascii="仿宋" w:eastAsia="仿宋" w:hAnsi="仿宋"/>
          <w:sz w:val="32"/>
          <w:szCs w:val="32"/>
        </w:rPr>
        <w:t xml:space="preserve"> 税务师事务所应当制定有关业务工作底稿的质量控制制度，以满足下列要求：</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（一）保证工作底稿的保密性和安全性；</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（二）保证工作底稿的完整性和时效性；</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（三）保证工作底稿查询和使用的便捷性。</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第三十六条</w:t>
      </w:r>
      <w:r w:rsidRPr="00E83937">
        <w:rPr>
          <w:rFonts w:ascii="仿宋" w:eastAsia="仿宋" w:hAnsi="仿宋"/>
          <w:sz w:val="32"/>
          <w:szCs w:val="32"/>
        </w:rPr>
        <w:t xml:space="preserve"> 税务师事务所业务工作底稿和档案管理制度应当包括以下内容：</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（一）业务工作底稿制定（修订）、使（停）用权限；</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（二）业务工作底稿编制、修改、复核在时间、权限、签字方面的要求；</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（三）业务工作底稿形成档案时限；</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（四）档案保管、借阅、销毁要求；</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（五）其他业务工作底稿档案相关要求。</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第三十七条</w:t>
      </w:r>
      <w:r w:rsidRPr="00E83937">
        <w:rPr>
          <w:rFonts w:ascii="仿宋" w:eastAsia="仿宋" w:hAnsi="仿宋"/>
          <w:sz w:val="32"/>
          <w:szCs w:val="32"/>
        </w:rPr>
        <w:t xml:space="preserve"> 项目组自提交业务结果之日起90日内将业</w:t>
      </w:r>
      <w:r w:rsidRPr="00E83937">
        <w:rPr>
          <w:rFonts w:ascii="仿宋" w:eastAsia="仿宋" w:hAnsi="仿宋"/>
          <w:sz w:val="32"/>
          <w:szCs w:val="32"/>
        </w:rPr>
        <w:lastRenderedPageBreak/>
        <w:t>务工作底稿归整为业务档案。业务档案应按不同客户不同委托业务分别归整，对同一客户不同的委托业务，应分别归整业务档案。</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第三十八条</w:t>
      </w:r>
      <w:r w:rsidRPr="00E83937">
        <w:rPr>
          <w:rFonts w:ascii="仿宋" w:eastAsia="仿宋" w:hAnsi="仿宋"/>
          <w:sz w:val="32"/>
          <w:szCs w:val="32"/>
        </w:rPr>
        <w:t xml:space="preserve"> 税务师事务所在对业务工作底稿进行管理时，应当重点关注以下方面：</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（一）业务工作底稿的修订是否及时；</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（二）业务工作底稿编制是否真实、全面，签字手续是否完备；</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（三）以复印件、电子及其他介质等非原件作为业务工作底稿的，是否按制度执行；</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（四）业务工作底稿归案是否及时、存放是否安全；</w:t>
      </w:r>
    </w:p>
    <w:p w:rsidR="00626BA0" w:rsidRPr="00E83937" w:rsidRDefault="00626BA0" w:rsidP="00626BA0">
      <w:pPr>
        <w:ind w:firstLineChars="200" w:firstLine="640"/>
        <w:rPr>
          <w:rFonts w:ascii="仿宋" w:eastAsia="仿宋" w:hAnsi="仿宋"/>
          <w:sz w:val="32"/>
          <w:szCs w:val="32"/>
        </w:rPr>
      </w:pPr>
      <w:r w:rsidRPr="00E83937">
        <w:rPr>
          <w:rFonts w:ascii="仿宋" w:eastAsia="仿宋" w:hAnsi="仿宋" w:hint="eastAsia"/>
          <w:sz w:val="32"/>
          <w:szCs w:val="32"/>
        </w:rPr>
        <w:t>（五）业务档案保管、借阅、销毁是否按程序进行。</w:t>
      </w:r>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第三十九条</w:t>
      </w:r>
      <w:r w:rsidRPr="00E83937">
        <w:rPr>
          <w:rFonts w:ascii="仿宋" w:eastAsia="仿宋" w:hAnsi="仿宋"/>
          <w:sz w:val="32"/>
          <w:szCs w:val="32"/>
        </w:rPr>
        <w:t xml:space="preserve"> 税务师事务所的业务档案，应当自提交结果之日起至少保存10年。</w:t>
      </w:r>
    </w:p>
    <w:p w:rsidR="00626BA0" w:rsidRPr="00E83937" w:rsidRDefault="00626BA0" w:rsidP="00626BA0">
      <w:pPr>
        <w:pStyle w:val="2"/>
        <w:jc w:val="center"/>
        <w:rPr>
          <w:rFonts w:ascii="仿宋" w:eastAsia="仿宋" w:hAnsi="仿宋"/>
          <w:b w:val="0"/>
        </w:rPr>
      </w:pPr>
      <w:bookmarkStart w:id="35" w:name="_Toc14100923"/>
      <w:bookmarkStart w:id="36" w:name="_Toc14101336"/>
      <w:bookmarkStart w:id="37" w:name="_Toc14162652"/>
      <w:r w:rsidRPr="00E83937">
        <w:rPr>
          <w:rFonts w:ascii="仿宋" w:eastAsia="仿宋" w:hAnsi="仿宋" w:hint="eastAsia"/>
        </w:rPr>
        <w:t>第九章</w:t>
      </w:r>
      <w:r w:rsidRPr="00E83937">
        <w:rPr>
          <w:rFonts w:ascii="仿宋" w:eastAsia="仿宋" w:hAnsi="仿宋"/>
        </w:rPr>
        <w:t xml:space="preserve"> 附 则</w:t>
      </w:r>
      <w:bookmarkEnd w:id="35"/>
      <w:bookmarkEnd w:id="36"/>
      <w:bookmarkEnd w:id="37"/>
    </w:p>
    <w:p w:rsidR="00626BA0" w:rsidRPr="00E83937" w:rsidRDefault="00626BA0" w:rsidP="00626BA0">
      <w:pPr>
        <w:ind w:firstLineChars="200" w:firstLine="643"/>
        <w:rPr>
          <w:rFonts w:ascii="仿宋" w:eastAsia="仿宋" w:hAnsi="仿宋"/>
          <w:sz w:val="32"/>
          <w:szCs w:val="32"/>
        </w:rPr>
      </w:pPr>
      <w:r w:rsidRPr="00E83937">
        <w:rPr>
          <w:rFonts w:ascii="仿宋" w:eastAsia="仿宋" w:hAnsi="仿宋" w:hint="eastAsia"/>
          <w:b/>
          <w:sz w:val="32"/>
          <w:szCs w:val="32"/>
        </w:rPr>
        <w:t>第四十条</w:t>
      </w:r>
      <w:r w:rsidRPr="00E83937">
        <w:rPr>
          <w:rFonts w:ascii="仿宋" w:eastAsia="仿宋" w:hAnsi="仿宋"/>
          <w:b/>
          <w:sz w:val="32"/>
          <w:szCs w:val="32"/>
        </w:rPr>
        <w:t xml:space="preserve"> </w:t>
      </w:r>
      <w:r w:rsidRPr="00E83937">
        <w:rPr>
          <w:rFonts w:ascii="仿宋" w:eastAsia="仿宋" w:hAnsi="仿宋"/>
          <w:sz w:val="32"/>
          <w:szCs w:val="32"/>
        </w:rPr>
        <w:t>本指引自2019年8月1日起试行。</w:t>
      </w:r>
    </w:p>
    <w:p w:rsidR="00626BA0" w:rsidRPr="00E83937" w:rsidRDefault="00626BA0" w:rsidP="00626BA0">
      <w:pPr>
        <w:ind w:firstLineChars="200" w:firstLine="640"/>
        <w:rPr>
          <w:rFonts w:ascii="仿宋" w:eastAsia="仿宋" w:hAnsi="仿宋"/>
          <w:sz w:val="32"/>
          <w:szCs w:val="32"/>
        </w:rPr>
      </w:pPr>
    </w:p>
    <w:p w:rsidR="00626BA0" w:rsidRPr="00E83937" w:rsidRDefault="00626BA0" w:rsidP="00626BA0">
      <w:pPr>
        <w:ind w:firstLineChars="200" w:firstLine="640"/>
        <w:rPr>
          <w:rFonts w:ascii="仿宋" w:eastAsia="仿宋" w:hAnsi="仿宋"/>
          <w:sz w:val="32"/>
          <w:szCs w:val="32"/>
        </w:rPr>
      </w:pPr>
    </w:p>
    <w:p w:rsidR="00626BA0" w:rsidRPr="00E83937" w:rsidRDefault="00626BA0" w:rsidP="00626BA0">
      <w:pPr>
        <w:ind w:firstLineChars="200" w:firstLine="640"/>
        <w:rPr>
          <w:rFonts w:ascii="仿宋" w:eastAsia="仿宋" w:hAnsi="仿宋"/>
          <w:sz w:val="32"/>
          <w:szCs w:val="32"/>
        </w:rPr>
      </w:pPr>
    </w:p>
    <w:p w:rsidR="00626BA0" w:rsidRPr="00E83937" w:rsidRDefault="00626BA0" w:rsidP="00777740">
      <w:pPr>
        <w:rPr>
          <w:rFonts w:ascii="仿宋" w:eastAsia="仿宋" w:hAnsi="仿宋"/>
          <w:sz w:val="32"/>
          <w:szCs w:val="32"/>
        </w:rPr>
      </w:pPr>
    </w:p>
    <w:p w:rsidR="000452AA" w:rsidRPr="00777740" w:rsidRDefault="000452AA" w:rsidP="00777740">
      <w:pPr>
        <w:widowControl/>
        <w:jc w:val="left"/>
        <w:rPr>
          <w:rFonts w:ascii="仿宋" w:eastAsia="仿宋" w:hAnsi="仿宋"/>
          <w:sz w:val="32"/>
          <w:szCs w:val="32"/>
        </w:rPr>
      </w:pPr>
    </w:p>
    <w:sectPr w:rsidR="000452AA" w:rsidRPr="0077774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E7F" w:rsidRDefault="00BB0E7F" w:rsidP="00626BA0">
      <w:r>
        <w:separator/>
      </w:r>
    </w:p>
  </w:endnote>
  <w:endnote w:type="continuationSeparator" w:id="0">
    <w:p w:rsidR="00BB0E7F" w:rsidRDefault="00BB0E7F" w:rsidP="0062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502348"/>
      <w:docPartObj>
        <w:docPartGallery w:val="Page Numbers (Bottom of Page)"/>
        <w:docPartUnique/>
      </w:docPartObj>
    </w:sdtPr>
    <w:sdtEndPr/>
    <w:sdtContent>
      <w:p w:rsidR="00950C88" w:rsidRDefault="00950C88">
        <w:pPr>
          <w:pStyle w:val="a5"/>
          <w:jc w:val="center"/>
        </w:pPr>
        <w:r w:rsidRPr="00950C88">
          <w:rPr>
            <w:sz w:val="24"/>
          </w:rPr>
          <w:fldChar w:fldCharType="begin"/>
        </w:r>
        <w:r w:rsidRPr="00950C88">
          <w:rPr>
            <w:sz w:val="24"/>
          </w:rPr>
          <w:instrText>PAGE   \* MERGEFORMAT</w:instrText>
        </w:r>
        <w:r w:rsidRPr="00950C88">
          <w:rPr>
            <w:sz w:val="24"/>
          </w:rPr>
          <w:fldChar w:fldCharType="separate"/>
        </w:r>
        <w:r w:rsidR="0056123B" w:rsidRPr="0056123B">
          <w:rPr>
            <w:noProof/>
            <w:sz w:val="24"/>
            <w:lang w:val="zh-CN"/>
          </w:rPr>
          <w:t>1</w:t>
        </w:r>
        <w:r w:rsidRPr="00950C88">
          <w:rPr>
            <w:sz w:val="24"/>
          </w:rPr>
          <w:fldChar w:fldCharType="end"/>
        </w:r>
      </w:p>
    </w:sdtContent>
  </w:sdt>
  <w:p w:rsidR="00950C88" w:rsidRDefault="00950C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E7F" w:rsidRDefault="00BB0E7F" w:rsidP="00626BA0">
      <w:r>
        <w:separator/>
      </w:r>
    </w:p>
  </w:footnote>
  <w:footnote w:type="continuationSeparator" w:id="0">
    <w:p w:rsidR="00BB0E7F" w:rsidRDefault="00BB0E7F" w:rsidP="00626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B681F"/>
    <w:multiLevelType w:val="multilevel"/>
    <w:tmpl w:val="77B860A4"/>
    <w:lvl w:ilvl="0">
      <w:start w:val="1"/>
      <w:numFmt w:val="bullet"/>
      <w:pStyle w:val="1"/>
      <w:lvlText w:val=""/>
      <w:lvlJc w:val="left"/>
      <w:pPr>
        <w:ind w:left="1695" w:hanging="420"/>
      </w:pPr>
      <w:rPr>
        <w:rFonts w:ascii="Wingdings" w:hAnsi="Wingdings" w:hint="default"/>
      </w:rPr>
    </w:lvl>
    <w:lvl w:ilvl="1">
      <w:start w:val="1"/>
      <w:numFmt w:val="bullet"/>
      <w:lvlText w:val=""/>
      <w:lvlJc w:val="left"/>
      <w:pPr>
        <w:ind w:left="2115" w:hanging="420"/>
      </w:pPr>
      <w:rPr>
        <w:rFonts w:ascii="Wingdings" w:hAnsi="Wingdings" w:hint="default"/>
      </w:rPr>
    </w:lvl>
    <w:lvl w:ilvl="2">
      <w:start w:val="1"/>
      <w:numFmt w:val="bullet"/>
      <w:lvlText w:val=""/>
      <w:lvlJc w:val="left"/>
      <w:pPr>
        <w:ind w:left="2535" w:hanging="420"/>
      </w:pPr>
      <w:rPr>
        <w:rFonts w:ascii="Wingdings" w:hAnsi="Wingdings" w:hint="default"/>
      </w:rPr>
    </w:lvl>
    <w:lvl w:ilvl="3">
      <w:start w:val="1"/>
      <w:numFmt w:val="decimal"/>
      <w:suff w:val="space"/>
      <w:lvlText w:val="%4."/>
      <w:lvlJc w:val="left"/>
      <w:pPr>
        <w:ind w:left="2955" w:hanging="420"/>
      </w:pPr>
      <w:rPr>
        <w:rFonts w:hint="eastAsia"/>
      </w:rPr>
    </w:lvl>
    <w:lvl w:ilvl="4">
      <w:start w:val="1"/>
      <w:numFmt w:val="bullet"/>
      <w:lvlText w:val=""/>
      <w:lvlJc w:val="left"/>
      <w:pPr>
        <w:ind w:left="3375" w:hanging="420"/>
      </w:pPr>
      <w:rPr>
        <w:rFonts w:ascii="Wingdings" w:hAnsi="Wingdings" w:hint="default"/>
      </w:rPr>
    </w:lvl>
    <w:lvl w:ilvl="5">
      <w:start w:val="1"/>
      <w:numFmt w:val="bullet"/>
      <w:lvlText w:val=""/>
      <w:lvlJc w:val="left"/>
      <w:pPr>
        <w:ind w:left="3795" w:hanging="420"/>
      </w:pPr>
      <w:rPr>
        <w:rFonts w:ascii="Wingdings" w:hAnsi="Wingdings" w:hint="default"/>
      </w:rPr>
    </w:lvl>
    <w:lvl w:ilvl="6">
      <w:start w:val="1"/>
      <w:numFmt w:val="bullet"/>
      <w:lvlText w:val=""/>
      <w:lvlJc w:val="left"/>
      <w:pPr>
        <w:ind w:left="4215" w:hanging="420"/>
      </w:pPr>
      <w:rPr>
        <w:rFonts w:ascii="Wingdings" w:hAnsi="Wingdings" w:hint="default"/>
      </w:rPr>
    </w:lvl>
    <w:lvl w:ilvl="7">
      <w:start w:val="1"/>
      <w:numFmt w:val="bullet"/>
      <w:lvlText w:val=""/>
      <w:lvlJc w:val="left"/>
      <w:pPr>
        <w:ind w:left="4635" w:hanging="420"/>
      </w:pPr>
      <w:rPr>
        <w:rFonts w:ascii="Wingdings" w:hAnsi="Wingdings" w:hint="default"/>
      </w:rPr>
    </w:lvl>
    <w:lvl w:ilvl="8">
      <w:start w:val="1"/>
      <w:numFmt w:val="bullet"/>
      <w:lvlText w:val=""/>
      <w:lvlJc w:val="left"/>
      <w:pPr>
        <w:ind w:left="50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D0D"/>
    <w:rsid w:val="000452AA"/>
    <w:rsid w:val="000C4B67"/>
    <w:rsid w:val="002F2D0D"/>
    <w:rsid w:val="0056123B"/>
    <w:rsid w:val="005A2297"/>
    <w:rsid w:val="005F1C34"/>
    <w:rsid w:val="00626BA0"/>
    <w:rsid w:val="00777740"/>
    <w:rsid w:val="0085685C"/>
    <w:rsid w:val="00950C88"/>
    <w:rsid w:val="00960771"/>
    <w:rsid w:val="00BB0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05B8C"/>
  <w15:docId w15:val="{B3F07EFD-8F97-4790-9252-1255E7E0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BA0"/>
    <w:pPr>
      <w:widowControl w:val="0"/>
      <w:jc w:val="both"/>
    </w:pPr>
    <w:rPr>
      <w:rFonts w:ascii="Calibri" w:eastAsia="宋体" w:hAnsi="Calibri" w:cs="宋体"/>
      <w:szCs w:val="21"/>
    </w:rPr>
  </w:style>
  <w:style w:type="paragraph" w:styleId="1">
    <w:name w:val="heading 1"/>
    <w:basedOn w:val="a"/>
    <w:next w:val="a"/>
    <w:link w:val="10"/>
    <w:uiPriority w:val="9"/>
    <w:qFormat/>
    <w:rsid w:val="00626BA0"/>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nhideWhenUsed/>
    <w:qFormat/>
    <w:rsid w:val="00626BA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6B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6BA0"/>
    <w:rPr>
      <w:sz w:val="18"/>
      <w:szCs w:val="18"/>
    </w:rPr>
  </w:style>
  <w:style w:type="paragraph" w:styleId="a5">
    <w:name w:val="footer"/>
    <w:basedOn w:val="a"/>
    <w:link w:val="a6"/>
    <w:uiPriority w:val="99"/>
    <w:unhideWhenUsed/>
    <w:rsid w:val="00626BA0"/>
    <w:pPr>
      <w:tabs>
        <w:tab w:val="center" w:pos="4153"/>
        <w:tab w:val="right" w:pos="8306"/>
      </w:tabs>
      <w:snapToGrid w:val="0"/>
      <w:jc w:val="left"/>
    </w:pPr>
    <w:rPr>
      <w:sz w:val="18"/>
      <w:szCs w:val="18"/>
    </w:rPr>
  </w:style>
  <w:style w:type="character" w:customStyle="1" w:styleId="a6">
    <w:name w:val="页脚 字符"/>
    <w:basedOn w:val="a0"/>
    <w:link w:val="a5"/>
    <w:uiPriority w:val="99"/>
    <w:rsid w:val="00626BA0"/>
    <w:rPr>
      <w:sz w:val="18"/>
      <w:szCs w:val="18"/>
    </w:rPr>
  </w:style>
  <w:style w:type="character" w:customStyle="1" w:styleId="10">
    <w:name w:val="标题 1 字符"/>
    <w:basedOn w:val="a0"/>
    <w:link w:val="1"/>
    <w:uiPriority w:val="9"/>
    <w:qFormat/>
    <w:rsid w:val="00626BA0"/>
    <w:rPr>
      <w:rFonts w:ascii="Calibri" w:eastAsia="宋体" w:hAnsi="Calibri" w:cs="宋体"/>
      <w:b/>
      <w:bCs/>
      <w:kern w:val="44"/>
      <w:sz w:val="44"/>
      <w:szCs w:val="44"/>
    </w:rPr>
  </w:style>
  <w:style w:type="character" w:customStyle="1" w:styleId="20">
    <w:name w:val="标题 2 字符"/>
    <w:basedOn w:val="a0"/>
    <w:link w:val="2"/>
    <w:qFormat/>
    <w:rsid w:val="00626BA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137F8-6E77-46DF-85E2-169BA854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gyb1</cp:lastModifiedBy>
  <cp:revision>4</cp:revision>
  <dcterms:created xsi:type="dcterms:W3CDTF">2019-08-02T02:23:00Z</dcterms:created>
  <dcterms:modified xsi:type="dcterms:W3CDTF">2019-08-02T06:35:00Z</dcterms:modified>
</cp:coreProperties>
</file>